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Times New Roman" w:hAnsi="Times New Roman" w:cs="Times New Roman"/>
          <w:b/>
          <w:bCs/>
          <w:sz w:val="28"/>
          <w:szCs w:val="28"/>
        </w:rPr>
      </w:pPr>
      <w:r>
        <w:rPr>
          <w:rFonts w:ascii="Times New Roman" w:hAnsi="Times New Roman" w:cs="Times New Roman"/>
          <w:b/>
          <w:bCs/>
          <w:sz w:val="28"/>
          <w:szCs w:val="28"/>
        </w:rPr>
        <w:t>《安全评价报告信息公布表》</w:t>
      </w:r>
    </w:p>
    <w:tbl>
      <w:tblPr>
        <w:tblStyle w:val="3"/>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机构名称</w:t>
            </w:r>
          </w:p>
        </w:tc>
        <w:tc>
          <w:tcPr>
            <w:tcW w:w="3936" w:type="dxa"/>
            <w:gridSpan w:val="5"/>
            <w:vAlign w:val="center"/>
          </w:tcPr>
          <w:p>
            <w:pPr>
              <w:spacing w:line="500" w:lineRule="exact"/>
              <w:jc w:val="center"/>
              <w:rPr>
                <w:rFonts w:ascii="Times New Roman" w:hAnsi="Times New Roman" w:eastAsia="方正仿宋_GBK" w:cs="Times New Roman"/>
                <w:sz w:val="28"/>
                <w:szCs w:val="28"/>
              </w:rPr>
            </w:pPr>
            <w:r>
              <w:rPr>
                <w:rFonts w:ascii="Times New Roman" w:hAnsi="Times New Roman" w:eastAsia="仿宋_GB2312" w:cs="Times New Roman"/>
                <w:kern w:val="0"/>
                <w:sz w:val="24"/>
                <w:szCs w:val="24"/>
              </w:rPr>
              <w:t>重庆市安全生产科学研究有限公司</w:t>
            </w:r>
          </w:p>
        </w:tc>
        <w:tc>
          <w:tcPr>
            <w:tcW w:w="1598"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资质证号</w:t>
            </w:r>
          </w:p>
        </w:tc>
        <w:tc>
          <w:tcPr>
            <w:tcW w:w="3038"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委托单位</w:t>
            </w:r>
          </w:p>
        </w:tc>
        <w:tc>
          <w:tcPr>
            <w:tcW w:w="8572" w:type="dxa"/>
            <w:gridSpan w:val="13"/>
            <w:vAlign w:val="center"/>
          </w:tcPr>
          <w:p>
            <w:pPr>
              <w:spacing w:line="520" w:lineRule="exact"/>
              <w:ind w:firstLine="420" w:firstLineChars="200"/>
              <w:jc w:val="center"/>
              <w:rPr>
                <w:rFonts w:ascii="Times New Roman" w:hAnsi="Times New Roman" w:cs="Times New Roman"/>
              </w:rPr>
            </w:pPr>
            <w:r>
              <w:rPr>
                <w:rFonts w:hint="eastAsia" w:ascii="Times New Roman" w:hAnsi="Times New Roman" w:cs="Times New Roman"/>
              </w:rPr>
              <w:t>康县丰都山矿业有限责任公司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项目名称</w:t>
            </w:r>
          </w:p>
        </w:tc>
        <w:tc>
          <w:tcPr>
            <w:tcW w:w="8572" w:type="dxa"/>
            <w:gridSpan w:val="13"/>
            <w:vAlign w:val="center"/>
          </w:tcPr>
          <w:p>
            <w:pPr>
              <w:snapToGrid w:val="0"/>
              <w:spacing w:line="520" w:lineRule="exact"/>
              <w:jc w:val="left"/>
              <w:rPr>
                <w:rFonts w:ascii="Times New Roman" w:hAnsi="Times New Roman" w:cs="Times New Roman"/>
              </w:rPr>
            </w:pPr>
            <w:r>
              <w:rPr>
                <w:rFonts w:hint="eastAsia" w:ascii="Times New Roman" w:hAnsi="Times New Roman" w:cs="Times New Roman"/>
              </w:rPr>
              <w:t>康县丰都山矿业有限责任公司孙家院子尾矿库提升改造项目安全设施验收评价报告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项目类别</w:t>
            </w:r>
          </w:p>
        </w:tc>
        <w:tc>
          <w:tcPr>
            <w:tcW w:w="8572" w:type="dxa"/>
            <w:gridSpan w:val="13"/>
            <w:vAlign w:val="center"/>
          </w:tcPr>
          <w:p>
            <w:pPr>
              <w:spacing w:line="500" w:lineRule="exact"/>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t xml:space="preserve">□预评价   □现状评价    </w:t>
            </w:r>
            <w:r>
              <w:rPr>
                <w:rFonts w:hint="eastAsia" w:ascii="MS Gothic" w:hAnsi="MS Gothic" w:eastAsia="MS Gothic" w:cs="MS Gothic"/>
                <w:sz w:val="28"/>
                <w:szCs w:val="28"/>
              </w:rPr>
              <w:t>☑</w:t>
            </w:r>
            <w:r>
              <w:rPr>
                <w:rFonts w:ascii="Times New Roman" w:hAnsi="Times New Roman" w:eastAsia="方正仿宋_GBK" w:cs="Times New Roman"/>
                <w:sz w:val="28"/>
                <w:szCs w:val="28"/>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Times New Roman" w:hAnsi="Times New Roman" w:eastAsia="方正仿宋_GBK" w:cs="Times New Roman"/>
                <w:sz w:val="28"/>
                <w:szCs w:val="28"/>
              </w:rPr>
            </w:pPr>
            <w:r>
              <w:rPr>
                <w:rFonts w:ascii="Times New Roman" w:hAnsi="Times New Roman" w:eastAsia="方正仿宋_GBK" w:cs="Times New Roman"/>
                <w:b/>
                <w:bCs/>
                <w:sz w:val="28"/>
                <w:szCs w:val="28"/>
              </w:rPr>
              <w:t>所属业务类别</w:t>
            </w:r>
          </w:p>
        </w:tc>
        <w:tc>
          <w:tcPr>
            <w:tcW w:w="7895" w:type="dxa"/>
            <w:gridSpan w:val="12"/>
          </w:tcPr>
          <w:p>
            <w:pPr>
              <w:spacing w:line="400" w:lineRule="exact"/>
              <w:ind w:firstLine="2640" w:firstLineChars="1100"/>
              <w:rPr>
                <w:rFonts w:ascii="Times New Roman" w:hAnsi="Times New Roman" w:eastAsia="仿宋_GB2312" w:cs="Times New Roman"/>
                <w:sz w:val="24"/>
                <w:szCs w:val="24"/>
              </w:rPr>
            </w:pPr>
            <w:r>
              <w:rPr>
                <w:rFonts w:ascii="Times New Roman" w:hAnsi="Times New Roman" w:eastAsia="仿宋_GB2312" w:cs="Times New Roman"/>
                <w:sz w:val="24"/>
                <w:szCs w:val="24"/>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Times New Roman" w:hAnsi="Times New Roman" w:eastAsia="方正仿宋_GBK" w:cs="Times New Roman"/>
                <w:b/>
                <w:bCs/>
                <w:sz w:val="30"/>
                <w:szCs w:val="30"/>
              </w:rPr>
            </w:pPr>
            <w:r>
              <w:rPr>
                <w:rFonts w:ascii="Times New Roman" w:hAnsi="Times New Roman" w:eastAsia="方正仿宋_GBK" w:cs="Times New Roman"/>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安全评价项目管理</w:t>
            </w:r>
          </w:p>
        </w:tc>
        <w:tc>
          <w:tcPr>
            <w:tcW w:w="2987"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项目组长</w:t>
            </w:r>
          </w:p>
        </w:tc>
        <w:tc>
          <w:tcPr>
            <w:tcW w:w="2710" w:type="dxa"/>
            <w:gridSpan w:val="6"/>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技术负责人</w:t>
            </w:r>
          </w:p>
        </w:tc>
        <w:tc>
          <w:tcPr>
            <w:tcW w:w="2875" w:type="dxa"/>
            <w:gridSpan w:val="3"/>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Times New Roman" w:hAnsi="Times New Roman" w:eastAsia="方正仿宋_GBK" w:cs="Times New Roman"/>
                <w:b/>
                <w:bCs/>
                <w:sz w:val="28"/>
                <w:szCs w:val="28"/>
              </w:rPr>
            </w:pPr>
          </w:p>
        </w:tc>
        <w:tc>
          <w:tcPr>
            <w:tcW w:w="2987"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李全文</w:t>
            </w:r>
          </w:p>
        </w:tc>
        <w:tc>
          <w:tcPr>
            <w:tcW w:w="2710" w:type="dxa"/>
            <w:gridSpan w:val="6"/>
            <w:vAlign w:val="center"/>
          </w:tcPr>
          <w:p>
            <w:pPr>
              <w:spacing w:line="500" w:lineRule="exact"/>
              <w:jc w:val="center"/>
              <w:rPr>
                <w:rFonts w:ascii="Times New Roman" w:hAnsi="Times New Roman" w:eastAsia="仿宋_GB2312" w:cs="Times New Roman"/>
                <w:sz w:val="24"/>
                <w:szCs w:val="24"/>
              </w:rPr>
            </w:pPr>
            <w:r>
              <w:rPr>
                <w:rFonts w:ascii="Times New Roman" w:hAnsi="Times New Roman" w:cs="Times New Roman"/>
                <w:kern w:val="0"/>
                <w:sz w:val="24"/>
              </w:rPr>
              <w:t>唐元杰</w:t>
            </w:r>
          </w:p>
        </w:tc>
        <w:tc>
          <w:tcPr>
            <w:tcW w:w="2875" w:type="dxa"/>
            <w:gridSpan w:val="3"/>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编制过程</w:t>
            </w:r>
          </w:p>
        </w:tc>
        <w:tc>
          <w:tcPr>
            <w:tcW w:w="2174" w:type="dxa"/>
            <w:gridSpan w:val="3"/>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报告编制人</w:t>
            </w:r>
          </w:p>
        </w:tc>
        <w:tc>
          <w:tcPr>
            <w:tcW w:w="2088"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报告提交日期</w:t>
            </w:r>
          </w:p>
        </w:tc>
        <w:tc>
          <w:tcPr>
            <w:tcW w:w="2154"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报告审核人</w:t>
            </w:r>
          </w:p>
        </w:tc>
        <w:tc>
          <w:tcPr>
            <w:tcW w:w="2156" w:type="dxa"/>
            <w:gridSpan w:val="2"/>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Times New Roman" w:hAnsi="Times New Roman" w:eastAsia="方正仿宋_GBK" w:cs="Times New Roman"/>
                <w:b/>
                <w:bCs/>
                <w:sz w:val="28"/>
                <w:szCs w:val="28"/>
              </w:rPr>
            </w:pPr>
          </w:p>
        </w:tc>
        <w:tc>
          <w:tcPr>
            <w:tcW w:w="2174" w:type="dxa"/>
            <w:gridSpan w:val="3"/>
            <w:vAlign w:val="center"/>
          </w:tcPr>
          <w:p>
            <w:pPr>
              <w:spacing w:line="500" w:lineRule="exact"/>
              <w:jc w:val="center"/>
              <w:rPr>
                <w:rFonts w:ascii="Times New Roman" w:hAnsi="Times New Roman" w:eastAsia="仿宋_GB2312" w:cs="Times New Roman"/>
                <w:sz w:val="24"/>
                <w:szCs w:val="24"/>
              </w:rPr>
            </w:pPr>
            <w:r>
              <w:rPr>
                <w:rFonts w:hint="eastAsia" w:ascii="Times New Roman" w:hAnsi="Times New Roman" w:eastAsia="仿宋" w:cs="Times New Roman"/>
              </w:rPr>
              <w:t>卢耀鹏</w:t>
            </w:r>
          </w:p>
        </w:tc>
        <w:tc>
          <w:tcPr>
            <w:tcW w:w="2088"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202</w:t>
            </w:r>
            <w:r>
              <w:rPr>
                <w:rFonts w:hint="eastAsia" w:ascii="Times New Roman" w:hAnsi="Times New Roman" w:eastAsia="仿宋_GB2312" w:cs="Times New Roman"/>
                <w:sz w:val="24"/>
                <w:szCs w:val="24"/>
              </w:rPr>
              <w:t>3</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3</w:t>
            </w:r>
          </w:p>
        </w:tc>
        <w:tc>
          <w:tcPr>
            <w:tcW w:w="2154" w:type="dxa"/>
            <w:gridSpan w:val="4"/>
            <w:vAlign w:val="center"/>
          </w:tcPr>
          <w:p>
            <w:pPr>
              <w:spacing w:line="50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李晓斌</w:t>
            </w:r>
          </w:p>
        </w:tc>
        <w:tc>
          <w:tcPr>
            <w:tcW w:w="2156" w:type="dxa"/>
            <w:gridSpan w:val="2"/>
            <w:vAlign w:val="center"/>
          </w:tcPr>
          <w:p>
            <w:pPr>
              <w:spacing w:line="500" w:lineRule="exact"/>
              <w:jc w:val="center"/>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kern w:val="0"/>
                <w:sz w:val="24"/>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姓名</w:t>
            </w:r>
          </w:p>
        </w:tc>
        <w:tc>
          <w:tcPr>
            <w:tcW w:w="1586" w:type="dxa"/>
            <w:gridSpan w:val="2"/>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认定专业</w:t>
            </w:r>
          </w:p>
        </w:tc>
        <w:tc>
          <w:tcPr>
            <w:tcW w:w="2622" w:type="dxa"/>
            <w:gridSpan w:val="4"/>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安全评价师从业识别卡/证书编号</w:t>
            </w:r>
          </w:p>
        </w:tc>
        <w:tc>
          <w:tcPr>
            <w:tcW w:w="2701" w:type="dxa"/>
            <w:gridSpan w:val="6"/>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注册安全工程师</w:t>
            </w:r>
          </w:p>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注册证号</w:t>
            </w:r>
          </w:p>
        </w:tc>
        <w:tc>
          <w:tcPr>
            <w:tcW w:w="1663" w:type="dxa"/>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李全文</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电气专业相关内容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1500000000200611</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罗青海</w:t>
            </w:r>
          </w:p>
        </w:tc>
        <w:tc>
          <w:tcPr>
            <w:tcW w:w="1586" w:type="dxa"/>
            <w:gridSpan w:val="2"/>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安全专业</w:t>
            </w:r>
          </w:p>
        </w:tc>
        <w:tc>
          <w:tcPr>
            <w:tcW w:w="2622" w:type="dxa"/>
            <w:gridSpan w:val="4"/>
            <w:vAlign w:val="center"/>
          </w:tcPr>
          <w:p>
            <w:pPr>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030480</w:t>
            </w:r>
          </w:p>
        </w:tc>
        <w:tc>
          <w:tcPr>
            <w:tcW w:w="2701" w:type="dxa"/>
            <w:gridSpan w:val="6"/>
            <w:vAlign w:val="center"/>
          </w:tcPr>
          <w:p>
            <w:pPr>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55200257985</w:t>
            </w:r>
          </w:p>
        </w:tc>
        <w:tc>
          <w:tcPr>
            <w:tcW w:w="1663" w:type="dxa"/>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欧建</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地质专业相关内容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1800000000301234</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孙文豪</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通风专业相关内容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S011053000110193002453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李伟</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机械专业相关内容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1800000000201223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王颜龙</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采矿</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1800000000301325</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卢耀鹏</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安全工程</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S011041000110193001773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唐元杰</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通风，安全</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0800000000103084</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55070030029</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冯皓</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机械、化工机械</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_GB2312" w:cs="Times New Roman"/>
                <w:kern w:val="0"/>
              </w:rPr>
              <w:t>S011053000110201000802</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55130140330</w:t>
            </w:r>
          </w:p>
        </w:tc>
        <w:tc>
          <w:tcPr>
            <w:tcW w:w="1663" w:type="dxa"/>
            <w:vAlign w:val="center"/>
          </w:tcPr>
          <w:p>
            <w:pPr>
              <w:adjustRightInd w:val="0"/>
              <w:snapToGrid w:val="0"/>
              <w:jc w:val="center"/>
              <w:rPr>
                <w:rFonts w:ascii="Times New Roman" w:hAnsi="Times New Roman" w:eastAsia="仿宋_GB2312" w:cs="Times New Roman"/>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jc w:val="center"/>
              <w:rPr>
                <w:rFonts w:ascii="Times New Roman" w:hAnsi="Times New Roman" w:cs="Times New Roman"/>
              </w:rPr>
            </w:pPr>
            <w:r>
              <w:rPr>
                <w:rFonts w:ascii="Times New Roman" w:hAnsi="Times New Roman" w:cs="Times New Roman"/>
              </w:rPr>
              <w:t>项目简介</w:t>
            </w:r>
          </w:p>
        </w:tc>
        <w:tc>
          <w:tcPr>
            <w:tcW w:w="8572" w:type="dxa"/>
            <w:gridSpan w:val="13"/>
            <w:vAlign w:val="center"/>
          </w:tcPr>
          <w:p>
            <w:pPr>
              <w:spacing w:line="240" w:lineRule="exact"/>
              <w:ind w:firstLine="420" w:firstLineChars="200"/>
            </w:pPr>
            <w:r>
              <w:rPr>
                <w:rFonts w:hint="eastAsia"/>
              </w:rPr>
              <w:t>康县丰都山矿业有限责任公司位于康县阳坝镇柯家河村，公司类型；有限责任公司。法定代表人：李振林；营业执照统一社会信用代码：916212247788603007；注册资本：壹仟万元整。成立于2005年8月29日，营业期限：2005年8月29日至2025年8月28日；经营范围：铜矿采选及销售。</w:t>
            </w:r>
          </w:p>
          <w:p>
            <w:pPr>
              <w:spacing w:line="240" w:lineRule="exact"/>
              <w:ind w:firstLine="420" w:firstLineChars="200"/>
            </w:pPr>
            <w:r>
              <w:rPr>
                <w:rFonts w:hint="eastAsia"/>
              </w:rPr>
              <w:t>孙家院子尾矿库责任人是康县丰都山矿业有限责任公司，该尾矿库2017年10月8日取得由陇南市安监局延续核发的安全生产许可证，有效期至2020年10月9日。</w:t>
            </w:r>
          </w:p>
          <w:p>
            <w:pPr>
              <w:spacing w:line="240" w:lineRule="exact"/>
              <w:ind w:firstLine="420" w:firstLineChars="200"/>
              <w:rPr>
                <w:rFonts w:hint="eastAsia"/>
              </w:rPr>
            </w:pPr>
            <w:r>
              <w:rPr>
                <w:rFonts w:hint="eastAsia"/>
              </w:rPr>
              <w:t>孙家院子尾矿库直距选矿厂西北侧约 1.5km，有简易公路相通。库址地处太平乡孙家院子里的一山沟。设计总坝高52m，总库容45.27×104m3，为湿排，四等库，设计服务年限9a。</w:t>
            </w:r>
          </w:p>
          <w:p>
            <w:pPr>
              <w:pStyle w:val="5"/>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eastAsia="宋体"/>
                <w:lang w:eastAsia="zh-CN"/>
              </w:rPr>
            </w:pPr>
            <w:r>
              <w:drawing>
                <wp:inline distT="0" distB="0" distL="114300" distR="114300">
                  <wp:extent cx="4191000" cy="22098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91000" cy="2209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Times New Roman" w:hAnsi="Times New Roman" w:cs="Times New Roman"/>
              </w:rPr>
            </w:pPr>
            <w:r>
              <w:rPr>
                <w:rFonts w:ascii="Times New Roman" w:hAnsi="Times New Roman" w:cs="Times New Roman"/>
              </w:rPr>
              <w:t>现场开展工作情况</w:t>
            </w:r>
          </w:p>
        </w:tc>
        <w:tc>
          <w:tcPr>
            <w:tcW w:w="158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勘察人员</w:t>
            </w:r>
          </w:p>
        </w:tc>
        <w:tc>
          <w:tcPr>
            <w:tcW w:w="2622" w:type="dxa"/>
            <w:gridSpan w:val="4"/>
            <w:vAlign w:val="center"/>
          </w:tcPr>
          <w:p>
            <w:pPr>
              <w:spacing w:line="300" w:lineRule="exact"/>
              <w:jc w:val="center"/>
              <w:rPr>
                <w:rFonts w:ascii="Times New Roman" w:hAnsi="Times New Roman" w:cs="Times New Roman"/>
              </w:rPr>
            </w:pPr>
            <w:r>
              <w:rPr>
                <w:rFonts w:ascii="Times New Roman" w:hAnsi="Times New Roman" w:cs="Times New Roman"/>
              </w:rPr>
              <w:t>勘察时间</w:t>
            </w:r>
          </w:p>
        </w:tc>
        <w:tc>
          <w:tcPr>
            <w:tcW w:w="122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勘查任务</w:t>
            </w:r>
          </w:p>
        </w:tc>
        <w:tc>
          <w:tcPr>
            <w:tcW w:w="3138" w:type="dxa"/>
            <w:gridSpan w:val="5"/>
            <w:vAlign w:val="center"/>
          </w:tcPr>
          <w:p>
            <w:pPr>
              <w:spacing w:line="300" w:lineRule="exact"/>
              <w:jc w:val="center"/>
              <w:rPr>
                <w:rFonts w:ascii="Times New Roman" w:hAnsi="Times New Roman" w:cs="Times New Roman"/>
              </w:rPr>
            </w:pPr>
            <w:r>
              <w:rPr>
                <w:rFonts w:ascii="Times New Roman" w:hAnsi="Times New Roman" w:cs="Times New Roman"/>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1390" w:type="dxa"/>
            <w:vMerge w:val="continue"/>
            <w:vAlign w:val="center"/>
          </w:tcPr>
          <w:p>
            <w:pPr>
              <w:spacing w:line="500" w:lineRule="exact"/>
              <w:jc w:val="center"/>
              <w:rPr>
                <w:rFonts w:ascii="Times New Roman" w:hAnsi="Times New Roman" w:cs="Times New Roman"/>
              </w:rPr>
            </w:pPr>
          </w:p>
        </w:tc>
        <w:tc>
          <w:tcPr>
            <w:tcW w:w="158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王颜龙、卢耀鹏</w:t>
            </w:r>
          </w:p>
        </w:tc>
        <w:tc>
          <w:tcPr>
            <w:tcW w:w="2622" w:type="dxa"/>
            <w:gridSpan w:val="4"/>
            <w:vAlign w:val="center"/>
          </w:tcPr>
          <w:p>
            <w:pPr>
              <w:spacing w:line="300" w:lineRule="exact"/>
              <w:jc w:val="center"/>
              <w:rPr>
                <w:rFonts w:ascii="Times New Roman" w:hAnsi="Times New Roman" w:cs="Times New Roman"/>
              </w:rPr>
            </w:pPr>
            <w:r>
              <w:rPr>
                <w:rFonts w:ascii="Times New Roman" w:hAnsi="Times New Roman" w:cs="Times New Roman"/>
              </w:rPr>
              <w:t>202</w:t>
            </w:r>
            <w:r>
              <w:rPr>
                <w:rFonts w:hint="eastAsia" w:ascii="Times New Roman" w:hAnsi="Times New Roman" w:cs="Times New Roman"/>
              </w:rPr>
              <w:t>2</w:t>
            </w:r>
            <w:r>
              <w:rPr>
                <w:rFonts w:ascii="Times New Roman" w:hAnsi="Times New Roman" w:cs="Times New Roman"/>
              </w:rPr>
              <w:t>.12</w:t>
            </w:r>
          </w:p>
        </w:tc>
        <w:tc>
          <w:tcPr>
            <w:tcW w:w="122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项目周边环境、气候、地质及建设位置。</w:t>
            </w:r>
          </w:p>
        </w:tc>
        <w:tc>
          <w:tcPr>
            <w:tcW w:w="3138" w:type="dxa"/>
            <w:gridSpan w:val="5"/>
            <w:vAlign w:val="center"/>
          </w:tcPr>
          <w:p>
            <w:pPr>
              <w:spacing w:line="300" w:lineRule="exact"/>
              <w:jc w:val="center"/>
              <w:rPr>
                <w:rFonts w:ascii="Times New Roman" w:hAnsi="Times New Roman" w:cs="Times New Roman"/>
              </w:rPr>
            </w:pPr>
            <w:r>
              <w:rPr>
                <w:rFonts w:ascii="Times New Roman" w:hAnsi="Times New Roman" w:cs="Times New Roman"/>
              </w:rPr>
              <w:t>项目</w:t>
            </w:r>
            <w:r>
              <w:rPr>
                <w:rFonts w:hint="eastAsia" w:ascii="Times New Roman" w:hAnsi="Times New Roman" w:cs="Times New Roman"/>
              </w:rPr>
              <w:t>部分设施还在</w:t>
            </w:r>
            <w:r>
              <w:rPr>
                <w:rFonts w:ascii="Times New Roman" w:hAnsi="Times New Roman" w:cs="Times New Roman"/>
              </w:rPr>
              <w:t>建设当中。</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260E51"/>
    <w:rsid w:val="7D260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firstLine="200"/>
    </w:pPr>
    <w:rPr>
      <w:szCs w:val="24"/>
    </w:rPr>
  </w:style>
  <w:style w:type="paragraph" w:customStyle="1" w:styleId="5">
    <w:name w:val="a 正文"/>
    <w:basedOn w:val="1"/>
    <w:qFormat/>
    <w:uiPriority w:val="0"/>
    <w:pPr>
      <w:spacing w:line="460" w:lineRule="exact"/>
      <w:jc w:val="center"/>
    </w:pPr>
    <w:rPr>
      <w:b/>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2024-12-13T06:57:00Z</dcterms:created>
  <dc:creator>雷楠</dc:creator>
  <cp:lastModifiedBy>雷楠</cp:lastModifiedBy>
  <dcterms:modified xsi:type="dcterms:W3CDTF">2024-12-13T06:58:03Z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