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宋体" w:hAnsi="宋体"/>
          <w:b/>
          <w:szCs w:val="28"/>
        </w:rPr>
      </w:pPr>
      <w:bookmarkStart w:id="0" w:name="_Toc29322"/>
      <w:bookmarkStart w:id="1" w:name="_Toc16094"/>
      <w:bookmarkStart w:id="2" w:name="_Toc16246"/>
      <w:r>
        <w:rPr>
          <w:rFonts w:hint="eastAsia" w:ascii="仿宋" w:hAnsi="仿宋" w:eastAsia="仿宋"/>
          <w:b/>
          <w:szCs w:val="28"/>
        </w:rPr>
        <w:t>安全评价报告信息公布表</w:t>
      </w:r>
      <w:bookmarkEnd w:id="0"/>
      <w:bookmarkEnd w:id="1"/>
      <w:bookmarkEnd w:id="2"/>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机构名称</w:t>
            </w:r>
          </w:p>
        </w:tc>
        <w:tc>
          <w:tcPr>
            <w:tcW w:w="3936" w:type="dxa"/>
            <w:gridSpan w:val="5"/>
            <w:vAlign w:val="center"/>
          </w:tcPr>
          <w:p>
            <w:pPr>
              <w:spacing w:line="500" w:lineRule="exact"/>
              <w:ind w:firstLine="0" w:firstLineChars="0"/>
              <w:jc w:val="center"/>
              <w:rPr>
                <w:rFonts w:ascii="仿宋" w:hAnsi="仿宋" w:eastAsia="仿宋"/>
                <w:sz w:val="21"/>
                <w:szCs w:val="21"/>
              </w:rPr>
            </w:pPr>
            <w:r>
              <w:rPr>
                <w:rFonts w:hint="eastAsia" w:ascii="仿宋" w:hAnsi="仿宋" w:eastAsia="仿宋"/>
                <w:kern w:val="0"/>
                <w:sz w:val="21"/>
                <w:szCs w:val="21"/>
              </w:rPr>
              <w:t>重庆市安全生产科学研究有限公司</w:t>
            </w:r>
          </w:p>
        </w:tc>
        <w:tc>
          <w:tcPr>
            <w:tcW w:w="1598"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资质证号</w:t>
            </w:r>
          </w:p>
        </w:tc>
        <w:tc>
          <w:tcPr>
            <w:tcW w:w="3038"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委托单位</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中国石油西南油气田分公司天然气净化总厂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项目名称</w:t>
            </w:r>
          </w:p>
        </w:tc>
        <w:tc>
          <w:tcPr>
            <w:tcW w:w="8572" w:type="dxa"/>
            <w:gridSpan w:val="13"/>
            <w:vAlign w:val="center"/>
          </w:tcPr>
          <w:p>
            <w:pPr>
              <w:spacing w:line="500" w:lineRule="exact"/>
              <w:ind w:firstLine="0" w:firstLineChars="0"/>
              <w:jc w:val="center"/>
              <w:rPr>
                <w:rFonts w:ascii="仿宋" w:hAnsi="仿宋" w:eastAsia="仿宋"/>
                <w:bCs/>
                <w:sz w:val="21"/>
                <w:szCs w:val="21"/>
              </w:rPr>
            </w:pPr>
            <w:r>
              <w:rPr>
                <w:rFonts w:hint="eastAsia" w:ascii="仿宋" w:hAnsi="仿宋" w:eastAsia="仿宋"/>
                <w:sz w:val="21"/>
                <w:szCs w:val="21"/>
              </w:rPr>
              <w:t>大竹分厂硫黄回收及尾气处理装置开停工不达标隐患治理工程安全预评价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项目类别</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宋体" w:hAnsi="宋体"/>
                <w:sz w:val="21"/>
                <w:szCs w:val="21"/>
              </w:rPr>
              <w:t>■</w:t>
            </w:r>
            <w:r>
              <w:rPr>
                <w:rFonts w:hint="eastAsia" w:ascii="仿宋" w:hAnsi="仿宋" w:eastAsia="仿宋"/>
                <w:sz w:val="21"/>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ind w:firstLine="0" w:firstLineChars="0"/>
              <w:rPr>
                <w:rFonts w:ascii="仿宋" w:hAnsi="仿宋" w:eastAsia="仿宋"/>
                <w:sz w:val="21"/>
                <w:szCs w:val="21"/>
              </w:rPr>
            </w:pPr>
            <w:r>
              <w:rPr>
                <w:rFonts w:hint="eastAsia" w:ascii="仿宋" w:hAnsi="仿宋" w:eastAsia="仿宋"/>
                <w:b/>
                <w:sz w:val="21"/>
                <w:szCs w:val="21"/>
              </w:rPr>
              <w:t>所属业务类别</w:t>
            </w:r>
          </w:p>
        </w:tc>
        <w:tc>
          <w:tcPr>
            <w:tcW w:w="7895" w:type="dxa"/>
            <w:gridSpan w:val="12"/>
          </w:tcPr>
          <w:p>
            <w:pPr>
              <w:spacing w:line="400" w:lineRule="exact"/>
              <w:ind w:firstLine="2310" w:firstLineChars="1100"/>
              <w:rPr>
                <w:rFonts w:ascii="仿宋" w:hAnsi="仿宋" w:eastAsia="仿宋"/>
                <w:sz w:val="21"/>
                <w:szCs w:val="21"/>
              </w:rPr>
            </w:pPr>
            <w:r>
              <w:rPr>
                <w:rFonts w:hint="eastAsia" w:ascii="仿宋" w:hAnsi="仿宋" w:eastAsia="仿宋"/>
                <w:sz w:val="21"/>
                <w:szCs w:val="21"/>
              </w:rPr>
              <w:t>陆地石油和天然气开采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安全评价项目管理</w:t>
            </w:r>
          </w:p>
        </w:tc>
        <w:tc>
          <w:tcPr>
            <w:tcW w:w="2987"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项目组组长</w:t>
            </w:r>
          </w:p>
        </w:tc>
        <w:tc>
          <w:tcPr>
            <w:tcW w:w="2710" w:type="dxa"/>
            <w:gridSpan w:val="6"/>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技术负责人</w:t>
            </w:r>
          </w:p>
        </w:tc>
        <w:tc>
          <w:tcPr>
            <w:tcW w:w="2875"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987"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罗刚</w:t>
            </w:r>
          </w:p>
        </w:tc>
        <w:tc>
          <w:tcPr>
            <w:tcW w:w="2710" w:type="dxa"/>
            <w:gridSpan w:val="6"/>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2875"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编制过程</w:t>
            </w:r>
          </w:p>
        </w:tc>
        <w:tc>
          <w:tcPr>
            <w:tcW w:w="2174"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报告编制人</w:t>
            </w:r>
          </w:p>
        </w:tc>
        <w:tc>
          <w:tcPr>
            <w:tcW w:w="2073"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报告提交日期</w:t>
            </w:r>
          </w:p>
        </w:tc>
        <w:tc>
          <w:tcPr>
            <w:tcW w:w="2169"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报告审核人</w:t>
            </w:r>
          </w:p>
        </w:tc>
        <w:tc>
          <w:tcPr>
            <w:tcW w:w="2156" w:type="dxa"/>
            <w:gridSpan w:val="2"/>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174"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林波</w:t>
            </w:r>
          </w:p>
        </w:tc>
        <w:tc>
          <w:tcPr>
            <w:tcW w:w="2073" w:type="dxa"/>
            <w:gridSpan w:val="4"/>
            <w:vAlign w:val="center"/>
          </w:tcPr>
          <w:p>
            <w:pPr>
              <w:spacing w:line="500" w:lineRule="exact"/>
              <w:ind w:firstLine="0" w:firstLineChars="0"/>
              <w:jc w:val="center"/>
              <w:rPr>
                <w:rFonts w:hint="eastAsia" w:ascii="仿宋" w:hAnsi="仿宋" w:eastAsia="仿宋"/>
                <w:sz w:val="21"/>
                <w:szCs w:val="21"/>
                <w:lang w:val="en-US" w:eastAsia="zh-CN"/>
              </w:rPr>
            </w:pPr>
            <w:r>
              <w:rPr>
                <w:rFonts w:hint="eastAsia" w:ascii="仿宋" w:hAnsi="仿宋" w:eastAsia="仿宋"/>
                <w:sz w:val="21"/>
                <w:szCs w:val="21"/>
              </w:rPr>
              <w:t>202</w:t>
            </w:r>
            <w:r>
              <w:rPr>
                <w:rFonts w:ascii="仿宋" w:hAnsi="仿宋" w:eastAsia="仿宋"/>
                <w:sz w:val="21"/>
                <w:szCs w:val="21"/>
              </w:rPr>
              <w:t>4.</w:t>
            </w:r>
            <w:r>
              <w:rPr>
                <w:rFonts w:hint="eastAsia" w:ascii="仿宋" w:hAnsi="仿宋" w:eastAsia="仿宋"/>
                <w:sz w:val="21"/>
                <w:szCs w:val="21"/>
                <w:lang w:val="en-US" w:eastAsia="zh-CN"/>
              </w:rPr>
              <w:t>4</w:t>
            </w:r>
          </w:p>
        </w:tc>
        <w:tc>
          <w:tcPr>
            <w:tcW w:w="2169"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蒋平</w:t>
            </w:r>
          </w:p>
        </w:tc>
        <w:tc>
          <w:tcPr>
            <w:tcW w:w="2156" w:type="dxa"/>
            <w:gridSpan w:val="2"/>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姓  名</w:t>
            </w: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认定专业</w:t>
            </w:r>
          </w:p>
        </w:tc>
        <w:tc>
          <w:tcPr>
            <w:tcW w:w="2661"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安全评价师从业识别卡/证书编号</w:t>
            </w:r>
          </w:p>
        </w:tc>
        <w:tc>
          <w:tcPr>
            <w:tcW w:w="2662"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注册安全工程师</w:t>
            </w:r>
          </w:p>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注册证号</w:t>
            </w:r>
          </w:p>
        </w:tc>
        <w:tc>
          <w:tcPr>
            <w:tcW w:w="1663" w:type="dxa"/>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雷楠</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储运</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S011053000110193002251</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高创波</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采油</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S011053000110202001824</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赵紫微</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S011053000110202001889</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闫云光</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电气</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S011053000110192002943</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林波</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安全</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S011053000110192002987</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55190209531</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高胡容</w:t>
            </w:r>
          </w:p>
        </w:tc>
        <w:tc>
          <w:tcPr>
            <w:tcW w:w="1586" w:type="dxa"/>
            <w:gridSpan w:val="2"/>
            <w:vAlign w:val="center"/>
          </w:tcPr>
          <w:p>
            <w:pPr>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安全</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S011053000110192002940</w:t>
            </w:r>
          </w:p>
        </w:tc>
        <w:tc>
          <w:tcPr>
            <w:tcW w:w="2662" w:type="dxa"/>
            <w:gridSpan w:val="5"/>
            <w:vAlign w:val="center"/>
          </w:tcPr>
          <w:p>
            <w:pPr>
              <w:widowControl/>
              <w:adjustRightInd w:val="0"/>
              <w:snapToGrid w:val="0"/>
              <w:spacing w:line="240" w:lineRule="auto"/>
              <w:ind w:firstLine="0" w:firstLineChars="0"/>
              <w:jc w:val="center"/>
              <w:rPr>
                <w:rFonts w:hint="eastAsia" w:ascii="仿宋" w:hAnsi="仿宋" w:eastAsia="仿宋" w:cs="宋体"/>
                <w:kern w:val="0"/>
                <w:sz w:val="21"/>
                <w:szCs w:val="21"/>
              </w:rPr>
            </w:pPr>
            <w:r>
              <w:rPr>
                <w:rFonts w:hint="eastAsia" w:ascii="仿宋" w:hAnsi="仿宋" w:eastAsia="仿宋" w:cs="宋体"/>
                <w:kern w:val="0"/>
                <w:sz w:val="21"/>
                <w:szCs w:val="21"/>
              </w:rPr>
              <w:t>-</w:t>
            </w:r>
            <w:r>
              <w:rPr>
                <w:rFonts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罗刚</w:t>
            </w:r>
          </w:p>
        </w:tc>
        <w:tc>
          <w:tcPr>
            <w:tcW w:w="1586" w:type="dxa"/>
            <w:gridSpan w:val="2"/>
            <w:vAlign w:val="center"/>
          </w:tcPr>
          <w:p>
            <w:pPr>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安全</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S011053000110192002961</w:t>
            </w:r>
          </w:p>
        </w:tc>
        <w:tc>
          <w:tcPr>
            <w:tcW w:w="2662" w:type="dxa"/>
            <w:gridSpan w:val="5"/>
            <w:vAlign w:val="center"/>
          </w:tcPr>
          <w:p>
            <w:pPr>
              <w:widowControl/>
              <w:adjustRightInd w:val="0"/>
              <w:snapToGrid w:val="0"/>
              <w:spacing w:line="240" w:lineRule="auto"/>
              <w:ind w:firstLine="0" w:firstLineChars="0"/>
              <w:jc w:val="center"/>
              <w:rPr>
                <w:rFonts w:hint="eastAsia" w:ascii="仿宋" w:hAnsi="仿宋" w:eastAsia="仿宋" w:cs="宋体"/>
                <w:kern w:val="0"/>
                <w:sz w:val="21"/>
                <w:szCs w:val="21"/>
              </w:rPr>
            </w:pPr>
            <w:r>
              <w:rPr>
                <w:rFonts w:hint="eastAsia" w:ascii="仿宋" w:hAnsi="仿宋" w:eastAsia="仿宋" w:cs="宋体"/>
                <w:kern w:val="0"/>
                <w:sz w:val="21"/>
                <w:szCs w:val="21"/>
              </w:rPr>
              <w:t>-</w:t>
            </w:r>
            <w:r>
              <w:rPr>
                <w:rFonts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sz w:val="21"/>
                <w:szCs w:val="21"/>
              </w:rPr>
              <w:t>1500000000100116</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0100948</w:t>
            </w:r>
          </w:p>
        </w:tc>
        <w:tc>
          <w:tcPr>
            <w:tcW w:w="1663" w:type="dxa"/>
            <w:vAlign w:val="center"/>
          </w:tcPr>
          <w:p>
            <w:pPr>
              <w:adjustRightInd w:val="0"/>
              <w:snapToGrid w:val="0"/>
              <w:spacing w:line="240" w:lineRule="auto"/>
              <w:ind w:firstLine="0" w:firstLineChars="0"/>
              <w:jc w:val="center"/>
              <w:rPr>
                <w:rFonts w:ascii="仿宋" w:hAnsi="仿宋" w:eastAsia="仿宋"/>
                <w:b/>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冯皓</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S011053000110</w:t>
            </w:r>
            <w:r>
              <w:rPr>
                <w:rFonts w:hint="eastAsia" w:ascii="仿宋" w:hAnsi="仿宋" w:eastAsia="仿宋" w:cs="宋体"/>
                <w:kern w:val="0"/>
                <w:sz w:val="21"/>
                <w:szCs w:val="21"/>
              </w:rPr>
              <w:t>201000802</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0177668</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蒋平</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采油</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S011053000110202001809</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sz w:val="21"/>
                <w:szCs w:val="21"/>
              </w:rPr>
            </w:pPr>
            <w:r>
              <w:rPr>
                <w:rFonts w:hint="eastAsia" w:ascii="仿宋" w:hAnsi="仿宋" w:eastAsia="仿宋"/>
                <w:b/>
                <w:sz w:val="21"/>
                <w:szCs w:val="21"/>
              </w:rPr>
              <w:t>项目简介</w:t>
            </w:r>
          </w:p>
        </w:tc>
        <w:tc>
          <w:tcPr>
            <w:tcW w:w="8572" w:type="dxa"/>
            <w:gridSpan w:val="13"/>
            <w:vAlign w:val="center"/>
          </w:tcPr>
          <w:p>
            <w:pPr>
              <w:adjustRightInd w:val="0"/>
              <w:snapToGrid w:val="0"/>
              <w:spacing w:line="240" w:lineRule="auto"/>
              <w:ind w:firstLine="0" w:firstLineChars="0"/>
              <w:rPr>
                <w:rFonts w:ascii="仿宋" w:hAnsi="仿宋" w:eastAsia="仿宋" w:cs="宋体"/>
                <w:bCs/>
                <w:sz w:val="21"/>
                <w:szCs w:val="21"/>
              </w:rPr>
            </w:pPr>
            <w:r>
              <w:rPr>
                <w:rFonts w:hint="eastAsia" w:ascii="仿宋" w:hAnsi="仿宋" w:eastAsia="仿宋" w:cs="宋体"/>
                <w:b/>
                <w:bCs/>
                <w:sz w:val="21"/>
                <w:szCs w:val="21"/>
              </w:rPr>
              <w:t>项目简介：</w:t>
            </w:r>
          </w:p>
          <w:p>
            <w:pPr>
              <w:spacing w:line="240" w:lineRule="auto"/>
              <w:ind w:firstLineChars="0"/>
              <w:rPr>
                <w:rFonts w:ascii="仿宋" w:hAnsi="仿宋" w:eastAsia="仿宋"/>
                <w:sz w:val="15"/>
                <w:szCs w:val="21"/>
              </w:rPr>
            </w:pPr>
            <w:r>
              <w:rPr>
                <w:rFonts w:hint="eastAsia" w:hAnsi="Times New Roman" w:cs="Arial"/>
                <w:color w:val="000000"/>
                <w:sz w:val="22"/>
              </w:rPr>
              <w:t>天然气净化总厂大竹分厂（以下简称“大竹分厂”）于2008年4月投产，厂址位于四川省达州市大竹县石河镇刘家场村，占地面积7.5万m</w:t>
            </w:r>
            <w:r>
              <w:rPr>
                <w:rFonts w:hint="eastAsia" w:hAnsi="Times New Roman" w:cs="Arial"/>
                <w:color w:val="000000"/>
                <w:sz w:val="22"/>
                <w:vertAlign w:val="superscript"/>
              </w:rPr>
              <w:t>2</w:t>
            </w:r>
            <w:r>
              <w:rPr>
                <w:rFonts w:hint="eastAsia" w:hAnsi="Times New Roman" w:cs="Arial"/>
                <w:color w:val="000000"/>
                <w:sz w:val="22"/>
              </w:rPr>
              <w:t>，主要设置一套天然气净化装置，净化规模为200×10</w:t>
            </w:r>
            <w:r>
              <w:rPr>
                <w:rFonts w:hint="eastAsia" w:hAnsi="Times New Roman" w:cs="Arial"/>
                <w:color w:val="000000"/>
                <w:sz w:val="22"/>
                <w:vertAlign w:val="superscript"/>
              </w:rPr>
              <w:t>4</w:t>
            </w:r>
            <w:r>
              <w:rPr>
                <w:rFonts w:hint="eastAsia" w:hAnsi="Times New Roman" w:cs="Arial"/>
                <w:color w:val="000000"/>
                <w:sz w:val="22"/>
              </w:rPr>
              <w:t>m</w:t>
            </w:r>
            <w:r>
              <w:rPr>
                <w:rFonts w:hint="eastAsia" w:hAnsi="Times New Roman" w:cs="Arial"/>
                <w:color w:val="000000"/>
                <w:sz w:val="22"/>
                <w:vertAlign w:val="superscript"/>
              </w:rPr>
              <w:t>3</w:t>
            </w:r>
            <w:r>
              <w:rPr>
                <w:rFonts w:hint="eastAsia" w:hAnsi="Times New Roman" w:cs="Arial"/>
                <w:color w:val="000000"/>
                <w:sz w:val="22"/>
              </w:rPr>
              <w:t>/d。净化装置采用克劳斯加斯科特工艺处理含硫尾气，受制于目前的工艺条件限制，在计划性开停车阶段，特别是催化剂预硫化、停产过氧除硫以及SCOT反应器钝化阶段都不可避免造成尾气超标排放。因此，需要对进入尾气灼烧炉气体的含硫量进行严格控制，对大竹分厂尾气处理工艺流程实施改进，降低尾气中含硫物，满足全时段达标要求。为此，大竹分厂拟开展“硫磺回收及尾气处理装置开停工不达标隐患治理工程”</w:t>
            </w:r>
            <w:r>
              <w:rPr>
                <w:rFonts w:hAnsi="Times New Roman" w:cs="Arial"/>
                <w:color w:val="000000"/>
                <w:sz w:val="22"/>
              </w:rPr>
              <w:t>。</w:t>
            </w:r>
          </w:p>
          <w:p>
            <w:pPr>
              <w:adjustRightInd w:val="0"/>
              <w:snapToGrid w:val="0"/>
              <w:spacing w:line="240" w:lineRule="auto"/>
              <w:ind w:firstLine="0" w:firstLineChars="0"/>
              <w:rPr>
                <w:rFonts w:ascii="仿宋" w:hAnsi="仿宋" w:eastAsia="仿宋" w:cs="宋体"/>
                <w:sz w:val="21"/>
                <w:szCs w:val="21"/>
              </w:rPr>
            </w:pPr>
            <w:r>
              <w:rPr>
                <w:rFonts w:hint="eastAsia" w:ascii="仿宋" w:hAnsi="仿宋" w:eastAsia="仿宋" w:cs="宋体"/>
                <w:b/>
                <w:bCs/>
                <w:sz w:val="21"/>
                <w:szCs w:val="21"/>
              </w:rPr>
              <w:t>现场勘察照片</w:t>
            </w:r>
            <w:r>
              <w:rPr>
                <w:rFonts w:hint="eastAsia" w:ascii="仿宋" w:hAnsi="仿宋" w:eastAsia="仿宋" w:cs="宋体"/>
                <w:sz w:val="21"/>
                <w:szCs w:val="21"/>
              </w:rPr>
              <w:t>：</w:t>
            </w:r>
            <w:r>
              <w:rPr>
                <w:rFonts w:hint="eastAsia" w:ascii="Times New Roman" w:hAnsi="Times New Roman"/>
                <w:sz w:val="21"/>
              </w:rPr>
              <w:t xml:space="preserve"> </w:t>
            </w:r>
          </w:p>
          <w:p>
            <w:pPr>
              <w:adjustRightInd w:val="0"/>
              <w:snapToGrid w:val="0"/>
              <w:spacing w:line="240" w:lineRule="auto"/>
              <w:ind w:firstLine="21" w:firstLineChars="10"/>
              <w:rPr>
                <w:rFonts w:ascii="仿宋" w:hAnsi="仿宋" w:eastAsia="仿宋" w:cs="宋体"/>
                <w:sz w:val="21"/>
                <w:szCs w:val="21"/>
              </w:rPr>
            </w:pPr>
            <w:r>
              <w:rPr>
                <w:rFonts w:hint="eastAsia" w:ascii="仿宋" w:hAnsi="仿宋" w:eastAsia="仿宋" w:cs="宋体"/>
                <w:sz w:val="21"/>
                <w:szCs w:val="21"/>
              </w:rPr>
              <w:t xml:space="preserve">  </w:t>
            </w:r>
            <w:r>
              <w:drawing>
                <wp:inline distT="0" distB="0" distL="114300" distR="114300">
                  <wp:extent cx="3476625" cy="26193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76625" cy="26193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现场开展工作情况</w:t>
            </w: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勘验人员</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勘验时间</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勘验任务</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罗刚</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w:t>
            </w:r>
            <w:r>
              <w:rPr>
                <w:rFonts w:ascii="仿宋" w:hAnsi="仿宋" w:eastAsia="仿宋"/>
                <w:sz w:val="21"/>
                <w:szCs w:val="21"/>
              </w:rPr>
              <w:t>4.5.9</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项目负责</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林波</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w:t>
            </w:r>
            <w:r>
              <w:rPr>
                <w:rFonts w:ascii="仿宋" w:hAnsi="仿宋" w:eastAsia="仿宋"/>
                <w:sz w:val="21"/>
                <w:szCs w:val="21"/>
              </w:rPr>
              <w:t>4.5.9</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现场勘察，资料收集</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无</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E0163E"/>
    <w:rsid w:val="7BE01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Arial" w:hAnsi="Arial" w:eastAsia="宋体" w:cs="Times New Roman"/>
      <w:kern w:val="2"/>
      <w:sz w:val="28"/>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2024-12-19T02:12:00Z</dcterms:created>
  <dc:creator>雷楠</dc:creator>
  <cp:lastModifiedBy>雷楠</cp:lastModifiedBy>
  <dcterms:modified xsi:type="dcterms:W3CDTF">2024-12-19T02:12:52Z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