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29322"/>
      <w:bookmarkStart w:id="1" w:name="_Toc16094"/>
      <w:bookmarkStart w:id="2" w:name="_Toc16246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中国石油西南油气田分公司蜀南气矿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自213脱水站—自215H1平台联络管道建设工程安全预评价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陆地石油和天然气开采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2024.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蒋平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蒋  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S011053000110202001809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闫云光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S011053000110192002943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赵紫微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89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高胡容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</w:t>
            </w: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2940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  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  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</w:t>
            </w: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项目简介：</w:t>
            </w:r>
          </w:p>
          <w:p>
            <w:pPr>
              <w:pStyle w:val="4"/>
              <w:rPr>
                <w:rFonts w:hint="eastAsia"/>
                <w:kern w:val="0"/>
              </w:rPr>
            </w:pPr>
            <w:r>
              <w:rPr>
                <w:rFonts w:hint="eastAsia"/>
                <w:kern w:val="0"/>
              </w:rPr>
              <w:t>自213脱水站—自215H1平台联络管道建设工程建设目的为解决自205H1、H2平台建设的15口先导试验气井的生产配套，满足气田开发需求。本工程主要建设内容包括：扩建自213脱水站1座；扩建自215H1平台1座；新建自213脱水站~自215H1平台集气管线3.85km。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kern w:val="0"/>
                <w:sz w:val="21"/>
              </w:rPr>
            </w:pPr>
            <w:r>
              <w:rPr>
                <w:rFonts w:hint="eastAsia"/>
                <w:kern w:val="0"/>
                <w:sz w:val="21"/>
              </w:rPr>
              <w:t>本工程涉及的介质组分以甲烷为主，重烃含量很低，不含H2S，含CO2，天然气成熟度高。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 w:val="21"/>
                <w:szCs w:val="21"/>
              </w:rPr>
              <w:t>：</w:t>
            </w:r>
            <w:r>
              <w:rPr>
                <w:rFonts w:hint="eastAsia" w:ascii="Times New Roman" w:hAnsi="Times New Roman"/>
                <w:sz w:val="21"/>
              </w:rPr>
              <w:t xml:space="preserve"> </w:t>
            </w:r>
          </w:p>
          <w:p>
            <w:pPr>
              <w:adjustRightInd w:val="0"/>
              <w:snapToGrid w:val="0"/>
              <w:spacing w:line="240" w:lineRule="auto"/>
              <w:ind w:firstLine="420"/>
              <w:rPr>
                <w:rFonts w:ascii="仿宋" w:hAnsi="仿宋" w:eastAsia="仿宋" w:cs="宋体"/>
                <w:sz w:val="21"/>
                <w:szCs w:val="21"/>
              </w:rPr>
            </w:pPr>
            <w:r>
              <w:drawing>
                <wp:inline distT="0" distB="0" distL="114300" distR="114300">
                  <wp:extent cx="4011930" cy="3028950"/>
                  <wp:effectExtent l="0" t="0" r="762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11930" cy="3028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高创波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2024.</w:t>
            </w:r>
            <w:r>
              <w:rPr>
                <w:rFonts w:ascii="仿宋" w:hAnsi="仿宋" w:eastAsia="仿宋"/>
                <w:sz w:val="21"/>
                <w:szCs w:val="21"/>
              </w:rPr>
              <w:t>4.21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现场勘查，资料收集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2024.</w:t>
            </w:r>
            <w:r>
              <w:rPr>
                <w:rFonts w:ascii="仿宋" w:hAnsi="仿宋" w:eastAsia="仿宋"/>
                <w:sz w:val="21"/>
                <w:szCs w:val="21"/>
              </w:rPr>
              <w:t>4.21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现场勘察，项目负责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8D0267"/>
    <w:rsid w:val="088D0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表格内容1"/>
    <w:basedOn w:val="1"/>
    <w:qFormat/>
    <w:uiPriority w:val="0"/>
    <w:pPr>
      <w:adjustRightInd w:val="0"/>
      <w:snapToGrid w:val="0"/>
      <w:spacing w:line="240" w:lineRule="auto"/>
      <w:ind w:firstLine="0" w:firstLineChars="0"/>
    </w:pPr>
    <w:rPr>
      <w:sz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2024-11-11T07:45:00Z</dcterms:created>
  <dc:creator>雷楠</dc:creator>
  <cp:lastModifiedBy>雷楠</cp:lastModifiedBy>
  <dcterms:modified xsi:type="dcterms:W3CDTF">2024-11-11T07:45:34Z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