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bookmarkStart w:id="0" w:name="_GoBack"/>
      <w:r>
        <w:rPr>
          <w:rFonts w:hint="eastAsia" w:ascii="仿宋" w:hAnsi="仿宋" w:eastAsia="仿宋"/>
          <w:b/>
          <w:color w:val="000000"/>
          <w:sz w:val="28"/>
          <w:szCs w:val="28"/>
        </w:rPr>
        <w:t>《安全评价报告信息公布表》</w:t>
      </w:r>
    </w:p>
    <w:bookmarkEnd w:id="0"/>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重庆市万州区东慧石材有限公司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重庆市万州区东慧石材有限公司重庆市万州区走马镇老屋村饰面用灰岩矿（扩建）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刘  陶</w:t>
            </w:r>
          </w:p>
        </w:tc>
        <w:tc>
          <w:tcPr>
            <w:tcW w:w="2073" w:type="dxa"/>
            <w:gridSpan w:val="4"/>
            <w:noWrap w:val="0"/>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2024年10月</w:t>
            </w:r>
          </w:p>
        </w:tc>
        <w:tc>
          <w:tcPr>
            <w:tcW w:w="2169" w:type="dxa"/>
            <w:gridSpan w:val="4"/>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noWrap w:val="0"/>
            <w:vAlign w:val="center"/>
          </w:tcPr>
          <w:p>
            <w:pPr>
              <w:widowControl/>
              <w:jc w:val="center"/>
              <w:rPr>
                <w:rFonts w:hint="eastAsia" w:ascii="仿宋" w:hAnsi="仿宋" w:eastAsia="仿宋" w:cs="仿宋"/>
                <w:color w:val="FF0000"/>
                <w:szCs w:val="21"/>
              </w:rPr>
            </w:pP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noWrap w:val="0"/>
            <w:vAlign w:val="center"/>
          </w:tcPr>
          <w:p>
            <w:pPr>
              <w:widowControl/>
              <w:jc w:val="center"/>
              <w:rPr>
                <w:rFonts w:hint="eastAsia" w:ascii="仿宋" w:hAnsi="仿宋" w:eastAsia="仿宋" w:cs="仿宋"/>
                <w:color w:val="000000"/>
                <w:szCs w:val="21"/>
              </w:rPr>
            </w:pPr>
          </w:p>
        </w:tc>
        <w:tc>
          <w:tcPr>
            <w:tcW w:w="1663"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widowControl/>
              <w:jc w:val="center"/>
              <w:rPr>
                <w:rFonts w:ascii="仿宋" w:hAnsi="仿宋" w:eastAsia="仿宋" w:cs="仿宋"/>
                <w:color w:val="FF0000"/>
                <w:szCs w:val="21"/>
              </w:rPr>
            </w:pPr>
            <w:r>
              <w:rPr>
                <w:rFonts w:ascii="仿宋" w:hAnsi="仿宋" w:eastAsia="仿宋" w:cs="仿宋"/>
                <w:color w:val="000000"/>
                <w:szCs w:val="21"/>
              </w:rPr>
              <w:t>019246</w:t>
            </w:r>
          </w:p>
        </w:tc>
        <w:tc>
          <w:tcPr>
            <w:tcW w:w="2662" w:type="dxa"/>
            <w:gridSpan w:val="5"/>
            <w:noWrap w:val="0"/>
            <w:vAlign w:val="center"/>
          </w:tcPr>
          <w:p>
            <w:pPr>
              <w:widowControl/>
              <w:jc w:val="center"/>
              <w:rPr>
                <w:rFonts w:hint="eastAsia" w:ascii="仿宋" w:hAnsi="仿宋" w:eastAsia="仿宋" w:cs="仿宋"/>
                <w:color w:val="FF0000"/>
                <w:szCs w:val="21"/>
              </w:rPr>
            </w:pPr>
          </w:p>
        </w:tc>
        <w:tc>
          <w:tcPr>
            <w:tcW w:w="1663" w:type="dxa"/>
            <w:noWrap w:val="0"/>
            <w:vAlign w:val="center"/>
          </w:tcPr>
          <w:p>
            <w:pPr>
              <w:widowControl/>
              <w:jc w:val="center"/>
              <w:rPr>
                <w:rFonts w:hint="eastAsia" w:ascii="仿宋" w:hAnsi="仿宋" w:eastAsia="仿宋" w:cs="仿宋"/>
                <w:color w:val="FF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4"/>
              <w:snapToGrid w:val="0"/>
              <w:spacing w:after="0" w:line="240" w:lineRule="auto"/>
              <w:ind w:firstLine="420" w:firstLineChars="200"/>
              <w:rPr>
                <w:rFonts w:hint="eastAsia" w:ascii="仿宋" w:hAnsi="仿宋" w:eastAsia="仿宋" w:cs="Arial"/>
                <w:szCs w:val="28"/>
              </w:rPr>
            </w:pPr>
            <w:r>
              <w:rPr>
                <w:rFonts w:hint="eastAsia" w:ascii="仿宋" w:hAnsi="仿宋" w:eastAsia="仿宋" w:cs="Arial"/>
                <w:szCs w:val="28"/>
              </w:rPr>
              <w:t xml:space="preserve">  </w:t>
            </w:r>
            <w:r>
              <w:rPr>
                <w:rFonts w:ascii="仿宋" w:hAnsi="仿宋" w:eastAsia="仿宋" w:cs="Arial"/>
                <w:szCs w:val="28"/>
              </w:rPr>
              <w:t>重庆市万州区东慧石材有限公司成立于2014年12月08日，法人代表黄国文，经济类型为有限责任公司，社会信用代码：91500101322381424D。经营范围为</w:t>
            </w:r>
            <w:r>
              <w:rPr>
                <w:rFonts w:hint="eastAsia" w:ascii="仿宋" w:hAnsi="仿宋" w:eastAsia="仿宋" w:cs="Arial"/>
                <w:szCs w:val="28"/>
              </w:rPr>
              <w:t>露天开采饰面用灰岩，矿产资源（非煤矿山）开采，销售石材等</w:t>
            </w:r>
            <w:r>
              <w:rPr>
                <w:rFonts w:ascii="仿宋" w:hAnsi="仿宋" w:eastAsia="仿宋" w:cs="Arial"/>
                <w:szCs w:val="28"/>
              </w:rPr>
              <w:t>。</w:t>
            </w:r>
          </w:p>
          <w:p>
            <w:pPr>
              <w:pStyle w:val="4"/>
              <w:snapToGrid w:val="0"/>
              <w:spacing w:after="0" w:line="240" w:lineRule="auto"/>
              <w:ind w:firstLine="420" w:firstLineChars="200"/>
              <w:rPr>
                <w:rFonts w:hint="eastAsia" w:ascii="仿宋" w:hAnsi="仿宋" w:eastAsia="仿宋" w:cs="Arial"/>
                <w:szCs w:val="28"/>
              </w:rPr>
            </w:pPr>
            <w:r>
              <w:rPr>
                <w:rFonts w:ascii="仿宋" w:hAnsi="仿宋" w:eastAsia="仿宋" w:cs="Arial"/>
                <w:szCs w:val="28"/>
              </w:rPr>
              <w:t>重庆市万州区东慧石材有限公司重庆市万州区走马镇老屋村饰面用灰岩矿</w:t>
            </w:r>
            <w:r>
              <w:rPr>
                <w:rFonts w:hint="eastAsia" w:ascii="仿宋" w:hAnsi="仿宋" w:eastAsia="仿宋" w:cs="Arial"/>
                <w:szCs w:val="28"/>
              </w:rPr>
              <w:t>位于</w:t>
            </w:r>
            <w:r>
              <w:rPr>
                <w:rFonts w:ascii="仿宋" w:hAnsi="仿宋" w:eastAsia="仿宋" w:cs="Arial"/>
                <w:szCs w:val="28"/>
              </w:rPr>
              <w:t>万州区走马镇老屋村一组</w:t>
            </w:r>
            <w:r>
              <w:rPr>
                <w:rFonts w:hint="eastAsia" w:ascii="仿宋" w:hAnsi="仿宋" w:eastAsia="仿宋" w:cs="Arial"/>
                <w:szCs w:val="28"/>
              </w:rPr>
              <w:t>，矿区范围由16个拐点闭合圈定，矿区面积0.1478km2，开采标高+1070m～+965m，生产规模为64万吨/年，开采矿种饰面用灰岩、建筑石料用灰岩。矿山开采方式为露天开采，，项目属于扩建性质。</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Arial"/>
                <w:szCs w:val="28"/>
              </w:rPr>
              <w:t>根据《建设项目安全设施“三同时”监督管理办法》等有关规定，矿山建设项目应按改建性质履行建设项目安全设施 “三同时”程序。鉴于此，企业于2024年9月委托重庆市安全生产科学研究有限公司对该矿山进行安全预评价。</w:t>
            </w:r>
          </w:p>
          <w:p>
            <w:pPr>
              <w:adjustRightInd w:val="0"/>
              <w:snapToGrid w:val="0"/>
              <w:spacing w:line="360" w:lineRule="auto"/>
              <w:rPr>
                <w:rFonts w:hint="eastAsia" w:ascii="仿宋" w:hAnsi="仿宋" w:eastAsia="仿宋" w:cs="Arial"/>
                <w:szCs w:val="28"/>
              </w:rPr>
            </w:pPr>
            <w:r>
              <w:rPr>
                <w:rFonts w:ascii="仿宋" w:hAnsi="仿宋" w:eastAsia="仿宋" w:cs="Arial"/>
                <w:szCs w:val="28"/>
              </w:rPr>
              <w:t xml:space="preserve"> </w:t>
            </w:r>
            <w:r>
              <w:drawing>
                <wp:inline distT="0" distB="0" distL="114300" distR="114300">
                  <wp:extent cx="3848100" cy="2162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48100" cy="21621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2024年9月14日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 陶</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3</w:t>
            </w:r>
            <w:r>
              <w:rPr>
                <w:rFonts w:hint="eastAsia" w:ascii="仿宋" w:hAnsi="仿宋" w:eastAsia="仿宋" w:cs="仿宋"/>
                <w:spacing w:val="-14"/>
                <w:szCs w:val="21"/>
              </w:rPr>
              <w:t>年9月14日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BA4228"/>
    <w:rsid w:val="67BA4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2024-11-28T06:22:00Z</dcterms:created>
  <dc:creator>雷楠</dc:creator>
  <cp:lastModifiedBy>雷楠</cp:lastModifiedBy>
  <dcterms:modified xsi:type="dcterms:W3CDTF">2024-11-28T06:22:13Z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