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firstLine="0" w:firstLineChars="0"/>
        <w:jc w:val="center"/>
        <w:outlineLvl w:val="0"/>
        <w:rPr>
          <w:rFonts w:ascii="宋体" w:hAnsi="宋体"/>
          <w:b/>
          <w:szCs w:val="28"/>
        </w:rPr>
      </w:pPr>
      <w:bookmarkStart w:id="0" w:name="_Toc16246"/>
      <w:bookmarkStart w:id="1" w:name="_Toc29322"/>
      <w:bookmarkStart w:id="2" w:name="_Toc16094"/>
      <w:r>
        <w:rPr>
          <w:rFonts w:hint="eastAsia" w:ascii="仿宋" w:hAnsi="仿宋" w:eastAsia="仿宋"/>
          <w:b/>
          <w:szCs w:val="28"/>
        </w:rPr>
        <w:t>安全评价报告信息公布表</w:t>
      </w:r>
      <w:bookmarkEnd w:id="0"/>
      <w:bookmarkEnd w:id="1"/>
      <w:bookmarkEnd w:id="2"/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四川泸州页岩气勘探开发有限责任公司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泸203H175平台-泸203H153平台集气管线迁改工程安全预评价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■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预评价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陆地石油和天然气开采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2024.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蒋平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注册安全工程师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高创波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S011053000110202001824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蒋  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S011053000110202001809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闫云光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S011053000110192002943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赵紫微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S0110530001102020018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89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高胡容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S01105300011019200</w:t>
            </w: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2940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  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S011053000110192002987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55190209531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0100948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  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</w:t>
            </w: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201000802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 w:cs="宋体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1"/>
                <w:szCs w:val="21"/>
              </w:rPr>
              <w:t>项目简介：</w:t>
            </w:r>
          </w:p>
          <w:p>
            <w:pPr>
              <w:pStyle w:val="4"/>
              <w:rPr>
                <w:kern w:val="0"/>
              </w:rPr>
            </w:pPr>
            <w:r>
              <w:rPr>
                <w:rFonts w:hint="eastAsia"/>
                <w:kern w:val="0"/>
              </w:rPr>
              <w:t>泸203H175平台-泸203H153平台集气管线为四川泸州页岩气勘探开发有限责任公司泸203井区储量评价井开发配套地面工程中的一条集气支线，位于四川省泸州市泸县境内。由于土公庙水库工程建设，将对该管线带来安全隐患，根据政府要求对该管线进行局部临时改线和永久改线。其中临时改线先行建设，主要原因为土公庙水库管理用房先行建设导致管线占压，永久改线主要为避让土公庙水库和相关配套设施。</w:t>
            </w:r>
          </w:p>
          <w:p>
            <w:pPr>
              <w:pStyle w:val="4"/>
              <w:rPr>
                <w:kern w:val="0"/>
              </w:rPr>
            </w:pPr>
            <w:r>
              <w:rPr>
                <w:rFonts w:hint="eastAsia"/>
                <w:kern w:val="0"/>
              </w:rPr>
              <w:t>临时改线段起点桩号位于原线路H175-60号桩，终点桩号位于原线路H175-65号桩。临时改线段长度440m。管道规格为Φ219.1×8（8.8） L360N PSL2 无缝钢管，设计压力为8.5MPa，通信光缆随集气管线一同改线。待永久改线完成后，临时改线段与原管道一并废弃处理。</w:t>
            </w:r>
          </w:p>
          <w:p>
            <w:pPr>
              <w:pStyle w:val="4"/>
              <w:rPr>
                <w:kern w:val="0"/>
              </w:rPr>
            </w:pPr>
            <w:r>
              <w:rPr>
                <w:rFonts w:hint="eastAsia"/>
                <w:kern w:val="0"/>
              </w:rPr>
              <w:t>永久改线段起点桩号位于原线路H175-43号桩，终点桩号位于原线路H175-86号桩。永久改线段长度4.3km。管道规格为Φ219.1×8（8.8） L360N PSL2 无缝钢管，设计压力为8.5MPa，通信光缆随集气管线一同改线。</w:t>
            </w:r>
          </w:p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kern w:val="0"/>
                <w:sz w:val="21"/>
              </w:rPr>
            </w:pPr>
            <w:r>
              <w:rPr>
                <w:rFonts w:hint="eastAsia"/>
                <w:kern w:val="0"/>
                <w:sz w:val="21"/>
              </w:rPr>
              <w:t>本工程管道涉及的介质组分以甲烷为主，CH4含量97.729%，CO2含量1.592%，不含硫化氢。</w:t>
            </w:r>
          </w:p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 w:cs="宋体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1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sz w:val="21"/>
                <w:szCs w:val="21"/>
              </w:rPr>
              <w:t>：</w:t>
            </w:r>
            <w:r>
              <w:rPr>
                <w:rFonts w:hint="eastAsia" w:ascii="Times New Roman" w:hAnsi="Times New Roman"/>
                <w:sz w:val="21"/>
              </w:rPr>
              <w:t xml:space="preserve"> </w:t>
            </w:r>
          </w:p>
          <w:p>
            <w:pPr>
              <w:adjustRightInd w:val="0"/>
              <w:snapToGrid w:val="0"/>
              <w:spacing w:line="240" w:lineRule="auto"/>
              <w:ind w:firstLine="560"/>
              <w:rPr>
                <w:rFonts w:ascii="仿宋" w:hAnsi="仿宋" w:eastAsia="仿宋" w:cs="宋体"/>
                <w:sz w:val="21"/>
                <w:szCs w:val="21"/>
              </w:rPr>
            </w:pPr>
            <w:r>
              <w:drawing>
                <wp:inline distT="0" distB="0" distL="114300" distR="114300">
                  <wp:extent cx="4851400" cy="3456940"/>
                  <wp:effectExtent l="0" t="0" r="6350" b="1016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51400" cy="34569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高创波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2024.</w:t>
            </w:r>
            <w:r>
              <w:rPr>
                <w:rFonts w:ascii="仿宋" w:hAnsi="仿宋" w:eastAsia="仿宋"/>
                <w:sz w:val="21"/>
                <w:szCs w:val="21"/>
              </w:rPr>
              <w:t>10.21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现场勘查，资料收集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2024.</w:t>
            </w:r>
            <w:r>
              <w:rPr>
                <w:rFonts w:ascii="仿宋" w:hAnsi="仿宋" w:eastAsia="仿宋"/>
                <w:sz w:val="21"/>
                <w:szCs w:val="21"/>
              </w:rPr>
              <w:t>10.21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现场勘察，项目负责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无</w:t>
            </w:r>
          </w:p>
        </w:tc>
      </w:tr>
    </w:tbl>
    <w:p>
      <w:bookmarkStart w:id="3" w:name="_GoBack"/>
      <w:bookmarkEnd w:id="3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7278AD"/>
    <w:rsid w:val="437278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Arial" w:hAnsi="Arial" w:eastAsia="宋体" w:cs="Times New Roman"/>
      <w:kern w:val="2"/>
      <w:sz w:val="28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表格内容1"/>
    <w:basedOn w:val="1"/>
    <w:qFormat/>
    <w:uiPriority w:val="0"/>
    <w:pPr>
      <w:adjustRightInd w:val="0"/>
      <w:snapToGrid w:val="0"/>
      <w:spacing w:line="240" w:lineRule="auto"/>
      <w:ind w:firstLine="0" w:firstLineChars="0"/>
    </w:pPr>
    <w:rPr>
      <w:sz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2024-11-11T07:50:00Z</dcterms:created>
  <dc:creator>雷楠</dc:creator>
  <cp:lastModifiedBy>雷楠</cp:lastModifiedBy>
  <dcterms:modified xsi:type="dcterms:W3CDTF">2024-11-11T07:50:39Z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