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818"/>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kern w:val="0"/>
                <w:szCs w:val="21"/>
              </w:rPr>
              <w:t>重庆市长寿区利利建材有限公司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vAlign w:val="center"/>
          </w:tcPr>
          <w:p>
            <w:pPr>
              <w:spacing w:line="500" w:lineRule="exact"/>
              <w:jc w:val="center"/>
              <w:rPr>
                <w:rFonts w:hint="eastAsia" w:ascii="仿宋" w:hAnsi="仿宋" w:eastAsia="仿宋" w:cs="仿宋"/>
                <w:kern w:val="0"/>
                <w:szCs w:val="21"/>
              </w:rPr>
            </w:pPr>
            <w:r>
              <w:rPr>
                <w:rFonts w:hint="eastAsia" w:ascii="仿宋" w:hAnsi="仿宋" w:eastAsia="仿宋" w:cs="仿宋"/>
                <w:kern w:val="0"/>
                <w:szCs w:val="21"/>
              </w:rPr>
              <w:t>重庆市长寿区利利建材有限公司长寿区双龙镇半坡湾</w:t>
            </w:r>
          </w:p>
          <w:p>
            <w:pPr>
              <w:spacing w:line="500" w:lineRule="exact"/>
              <w:jc w:val="center"/>
              <w:rPr>
                <w:rFonts w:hint="eastAsia" w:ascii="仿宋" w:hAnsi="仿宋" w:eastAsia="仿宋" w:cs="仿宋"/>
                <w:bCs/>
                <w:color w:val="000000"/>
                <w:szCs w:val="21"/>
              </w:rPr>
            </w:pPr>
            <w:r>
              <w:rPr>
                <w:rFonts w:hint="eastAsia" w:ascii="仿宋" w:hAnsi="仿宋" w:eastAsia="仿宋" w:cs="仿宋"/>
                <w:kern w:val="0"/>
                <w:szCs w:val="21"/>
              </w:rPr>
              <w:t>建筑用砂岩矿（扩建）安全预评价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jc w:val="center"/>
              <w:rPr>
                <w:rFonts w:hint="eastAsia" w:ascii="仿宋" w:hAnsi="仿宋" w:eastAsia="仿宋" w:cs="仿宋"/>
                <w:color w:val="000000"/>
                <w:kern w:val="0"/>
                <w:sz w:val="28"/>
                <w:szCs w:val="21"/>
                <w:lang w:eastAsia="en-US"/>
              </w:rPr>
            </w:pPr>
            <w:r>
              <w:rPr>
                <w:rFonts w:hint="eastAsia" w:ascii="仿宋" w:hAnsi="仿宋" w:eastAsia="仿宋" w:cs="仿宋"/>
                <w:color w:val="000000"/>
                <w:spacing w:val="-14"/>
                <w:kern w:val="0"/>
                <w:szCs w:val="21"/>
              </w:rPr>
              <w:t>陈兴勇</w:t>
            </w:r>
          </w:p>
        </w:tc>
        <w:tc>
          <w:tcPr>
            <w:tcW w:w="2710" w:type="dxa"/>
            <w:gridSpan w:val="6"/>
            <w:vAlign w:val="center"/>
          </w:tcPr>
          <w:p>
            <w:pPr>
              <w:jc w:val="center"/>
              <w:rPr>
                <w:rFonts w:hint="eastAsia" w:ascii="仿宋" w:hAnsi="仿宋" w:eastAsia="仿宋" w:cs="仿宋"/>
                <w:color w:val="000000"/>
                <w:kern w:val="0"/>
                <w:sz w:val="28"/>
                <w:szCs w:val="21"/>
                <w:lang w:eastAsia="en-US"/>
              </w:rPr>
            </w:pPr>
            <w:r>
              <w:rPr>
                <w:rFonts w:hint="eastAsia" w:ascii="仿宋" w:hAnsi="仿宋" w:eastAsia="仿宋" w:cs="仿宋"/>
                <w:color w:val="000000"/>
                <w:spacing w:val="-14"/>
                <w:kern w:val="0"/>
                <w:szCs w:val="21"/>
              </w:rPr>
              <w:t>唐元杰</w:t>
            </w:r>
          </w:p>
        </w:tc>
        <w:tc>
          <w:tcPr>
            <w:tcW w:w="2875" w:type="dxa"/>
            <w:gridSpan w:val="2"/>
            <w:vAlign w:val="center"/>
          </w:tcPr>
          <w:p>
            <w:pPr>
              <w:jc w:val="center"/>
              <w:rPr>
                <w:rFonts w:hint="eastAsia" w:ascii="仿宋" w:hAnsi="仿宋" w:eastAsia="仿宋" w:cs="仿宋"/>
                <w:color w:val="000000"/>
                <w:kern w:val="0"/>
                <w:sz w:val="28"/>
                <w:szCs w:val="21"/>
                <w:lang w:eastAsia="en-US"/>
              </w:rPr>
            </w:pPr>
            <w:r>
              <w:rPr>
                <w:rFonts w:hint="eastAsia" w:ascii="仿宋" w:hAnsi="仿宋" w:eastAsia="仿宋" w:cs="仿宋"/>
                <w:color w:val="000000"/>
                <w:spacing w:val="-14"/>
                <w:kern w:val="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jc w:val="center"/>
              <w:rPr>
                <w:rFonts w:hint="eastAsia" w:ascii="仿宋" w:hAnsi="仿宋" w:eastAsia="仿宋" w:cs="仿宋"/>
                <w:color w:val="000000"/>
                <w:spacing w:val="-14"/>
                <w:kern w:val="0"/>
                <w:szCs w:val="21"/>
                <w:lang w:eastAsia="zh-CN"/>
              </w:rPr>
            </w:pPr>
            <w:r>
              <w:rPr>
                <w:rFonts w:hint="eastAsia" w:ascii="仿宋" w:hAnsi="仿宋" w:eastAsia="仿宋" w:cs="仿宋"/>
                <w:color w:val="000000"/>
                <w:spacing w:val="-14"/>
                <w:kern w:val="0"/>
                <w:szCs w:val="21"/>
                <w:lang w:val="en-US" w:eastAsia="zh-CN"/>
              </w:rPr>
              <w:t>刘陶</w:t>
            </w:r>
          </w:p>
        </w:tc>
        <w:tc>
          <w:tcPr>
            <w:tcW w:w="2073" w:type="dxa"/>
            <w:gridSpan w:val="4"/>
            <w:vAlign w:val="center"/>
          </w:tcPr>
          <w:p>
            <w:pPr>
              <w:jc w:val="center"/>
              <w:rPr>
                <w:rFonts w:hint="eastAsia" w:ascii="仿宋" w:hAnsi="仿宋" w:eastAsia="仿宋" w:cs="仿宋"/>
                <w:color w:val="000000"/>
                <w:spacing w:val="-14"/>
                <w:kern w:val="0"/>
                <w:szCs w:val="21"/>
              </w:rPr>
            </w:pPr>
            <w:r>
              <w:rPr>
                <w:rFonts w:hint="eastAsia" w:ascii="仿宋" w:hAnsi="仿宋" w:eastAsia="仿宋" w:cs="仿宋"/>
                <w:color w:val="000000"/>
                <w:spacing w:val="-14"/>
                <w:kern w:val="0"/>
                <w:szCs w:val="21"/>
              </w:rPr>
              <w:t>202</w:t>
            </w:r>
            <w:r>
              <w:rPr>
                <w:rFonts w:ascii="仿宋" w:hAnsi="仿宋" w:eastAsia="仿宋" w:cs="仿宋"/>
                <w:color w:val="000000"/>
                <w:spacing w:val="-14"/>
                <w:kern w:val="0"/>
                <w:szCs w:val="21"/>
              </w:rPr>
              <w:t>4</w:t>
            </w:r>
            <w:r>
              <w:rPr>
                <w:rFonts w:hint="eastAsia" w:ascii="仿宋" w:hAnsi="仿宋" w:eastAsia="仿宋" w:cs="仿宋"/>
                <w:color w:val="000000"/>
                <w:spacing w:val="-14"/>
                <w:kern w:val="0"/>
                <w:szCs w:val="21"/>
              </w:rPr>
              <w:t>年10月</w:t>
            </w:r>
          </w:p>
        </w:tc>
        <w:tc>
          <w:tcPr>
            <w:tcW w:w="2268" w:type="dxa"/>
            <w:gridSpan w:val="4"/>
            <w:vAlign w:val="center"/>
          </w:tcPr>
          <w:p>
            <w:pPr>
              <w:jc w:val="center"/>
              <w:rPr>
                <w:rFonts w:hint="default" w:ascii="仿宋" w:hAnsi="仿宋" w:eastAsia="仿宋" w:cs="仿宋"/>
                <w:color w:val="000000"/>
                <w:spacing w:val="-14"/>
                <w:kern w:val="0"/>
                <w:szCs w:val="21"/>
                <w:lang w:val="en-US" w:eastAsia="zh-CN"/>
              </w:rPr>
            </w:pPr>
            <w:r>
              <w:rPr>
                <w:rFonts w:hint="eastAsia" w:ascii="仿宋" w:hAnsi="仿宋" w:eastAsia="仿宋" w:cs="仿宋"/>
                <w:color w:val="000000"/>
                <w:spacing w:val="-14"/>
                <w:kern w:val="0"/>
                <w:szCs w:val="21"/>
                <w:lang w:val="en-US" w:eastAsia="zh-CN"/>
              </w:rPr>
              <w:t>李治友</w:t>
            </w:r>
          </w:p>
        </w:tc>
        <w:tc>
          <w:tcPr>
            <w:tcW w:w="2057" w:type="dxa"/>
            <w:vAlign w:val="center"/>
          </w:tcPr>
          <w:p>
            <w:pPr>
              <w:jc w:val="center"/>
              <w:rPr>
                <w:rFonts w:hint="eastAsia" w:ascii="仿宋" w:hAnsi="仿宋" w:eastAsia="仿宋" w:cs="仿宋"/>
                <w:color w:val="000000"/>
                <w:spacing w:val="-14"/>
                <w:kern w:val="0"/>
                <w:szCs w:val="21"/>
              </w:rPr>
            </w:pPr>
            <w:r>
              <w:rPr>
                <w:rFonts w:hint="eastAsia" w:ascii="仿宋" w:hAnsi="仿宋" w:eastAsia="仿宋" w:cs="仿宋"/>
                <w:color w:val="000000"/>
                <w:spacing w:val="-14"/>
                <w:kern w:val="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268"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057"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037350</w:t>
            </w:r>
          </w:p>
        </w:tc>
        <w:tc>
          <w:tcPr>
            <w:tcW w:w="2268" w:type="dxa"/>
            <w:gridSpan w:val="4"/>
            <w:vAlign w:val="center"/>
          </w:tcPr>
          <w:p>
            <w:pPr>
              <w:widowControl/>
              <w:jc w:val="center"/>
              <w:rPr>
                <w:rFonts w:hint="eastAsia" w:ascii="仿宋" w:hAnsi="仿宋" w:eastAsia="仿宋" w:cs="仿宋"/>
                <w:color w:val="000000"/>
                <w:szCs w:val="21"/>
              </w:rPr>
            </w:pP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023846</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033517</w:t>
            </w:r>
          </w:p>
        </w:tc>
        <w:tc>
          <w:tcPr>
            <w:tcW w:w="2268" w:type="dxa"/>
            <w:gridSpan w:val="4"/>
            <w:vAlign w:val="center"/>
          </w:tcPr>
          <w:p>
            <w:pPr>
              <w:widowControl/>
              <w:jc w:val="center"/>
              <w:rPr>
                <w:rFonts w:hint="eastAsia" w:ascii="仿宋" w:hAnsi="仿宋" w:eastAsia="仿宋" w:cs="仿宋"/>
                <w:color w:val="000000"/>
                <w:szCs w:val="21"/>
              </w:rPr>
            </w:pP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019246</w:t>
            </w:r>
          </w:p>
        </w:tc>
        <w:tc>
          <w:tcPr>
            <w:tcW w:w="2268" w:type="dxa"/>
            <w:gridSpan w:val="4"/>
            <w:vAlign w:val="center"/>
          </w:tcPr>
          <w:p>
            <w:pPr>
              <w:widowControl/>
              <w:jc w:val="center"/>
              <w:rPr>
                <w:rFonts w:hint="eastAsia" w:ascii="仿宋" w:hAnsi="仿宋" w:eastAsia="仿宋" w:cs="仿宋"/>
                <w:color w:val="000000"/>
                <w:szCs w:val="21"/>
              </w:rPr>
            </w:pP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55130140330</w:t>
            </w:r>
          </w:p>
        </w:tc>
        <w:tc>
          <w:tcPr>
            <w:tcW w:w="2057"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vAlign w:val="center"/>
          </w:tcPr>
          <w:p>
            <w:pPr>
              <w:snapToGrid w:val="0"/>
              <w:ind w:firstLine="420" w:firstLineChars="200"/>
              <w:rPr>
                <w:rFonts w:hint="eastAsia" w:ascii="仿宋" w:hAnsi="仿宋" w:eastAsia="仿宋" w:cs="仿宋"/>
                <w:szCs w:val="21"/>
              </w:rPr>
            </w:pPr>
            <w:r>
              <w:rPr>
                <w:rFonts w:hint="eastAsia" w:ascii="仿宋" w:hAnsi="仿宋" w:eastAsia="仿宋" w:cs="仿宋"/>
                <w:szCs w:val="21"/>
              </w:rPr>
              <w:t>重庆市长寿区利利建材有限公司注册时间为2014年3月28日，统一社会信用代码：91500115095668299U，法定代表人：张伟，公司位于重庆市长寿区双龙镇街上，经济类型属有限责任公司，经营范围有：一般项目：销售：砂子、石子（除依法必须经批准的项目外，评营业执照依法自主开展经营活动）。</w:t>
            </w:r>
          </w:p>
          <w:p>
            <w:pPr>
              <w:snapToGrid w:val="0"/>
              <w:ind w:firstLine="420" w:firstLineChars="200"/>
              <w:rPr>
                <w:rFonts w:hint="eastAsia" w:ascii="仿宋" w:hAnsi="仿宋" w:eastAsia="仿宋" w:cs="仿宋"/>
                <w:szCs w:val="21"/>
              </w:rPr>
            </w:pPr>
            <w:r>
              <w:rPr>
                <w:rFonts w:hint="eastAsia" w:ascii="仿宋" w:hAnsi="仿宋" w:eastAsia="仿宋" w:cs="仿宋"/>
                <w:szCs w:val="21"/>
              </w:rPr>
              <w:t>长寿区双龙镇半坡湾建筑用砂岩矿属已建成投产多年，由于原矿区内可利用资源接近枯竭，矿山依据重庆市规划和自然资源局《关于下达长寿区双龙镇半坡湾建筑用砂岩矿采矿权出让项目计划的通知》（渝规资〔2023〕318号）进行了增资扩界扩能，重庆市长寿区利利建材有限公司于2024年9月18日在重庆市公共资源交易中心通过挂牌出让方式竞得了长寿区双龙镇半坡湾建筑用砂岩矿（长寿矿采公出[2024]1号）并与重庆市长寿区规划和自然资源局签订了《重庆市采矿权出让合同》（渝采矿出字[2024]（长寿）第02号），目前矿山还在完善相关手续，尚未取得扩大范围的采矿许可证。矿区范围由30个拐点闭合圈定，矿区面积0.1004km2，开采标高+470m～+415m，生产规模为10万吨/年，露天开采建筑用砂岩。</w:t>
            </w:r>
          </w:p>
          <w:p>
            <w:pPr>
              <w:snapToGrid w:val="0"/>
              <w:ind w:firstLine="420" w:firstLineChars="200"/>
              <w:rPr>
                <w:rFonts w:hint="eastAsia" w:ascii="仿宋" w:hAnsi="仿宋" w:eastAsia="仿宋" w:cs="仿宋"/>
                <w:szCs w:val="21"/>
              </w:rPr>
            </w:pPr>
            <w:r>
              <w:rPr>
                <w:rFonts w:hint="eastAsia" w:ascii="仿宋" w:hAnsi="仿宋" w:eastAsia="仿宋" w:cs="仿宋"/>
                <w:szCs w:val="21"/>
              </w:rPr>
              <w:t>根据《建设项目安全设施“三同时”监督管理办法》等有关规定，矿山建设项目应按扩建性质履行建设项目安全设施“三同时”程序。</w:t>
            </w:r>
          </w:p>
          <w:p>
            <w:pPr>
              <w:ind w:firstLine="420" w:firstLineChars="200"/>
              <w:rPr>
                <w:rFonts w:hint="eastAsia" w:ascii="仿宋" w:hAnsi="仿宋" w:eastAsia="仿宋" w:cs="仿宋"/>
                <w:szCs w:val="21"/>
              </w:rPr>
            </w:pPr>
            <w:r>
              <w:rPr>
                <w:rFonts w:hint="eastAsia" w:ascii="仿宋" w:hAnsi="仿宋" w:eastAsia="仿宋" w:cs="仿宋"/>
                <w:szCs w:val="21"/>
              </w:rPr>
              <w:t>鉴于此，企业于2024年10月委托重庆市安全生产科学研究有限公司对该矿山进行安全预评价。</w:t>
            </w:r>
          </w:p>
          <w:p>
            <w:pPr>
              <w:ind w:firstLine="420" w:firstLineChars="200"/>
              <w:rPr>
                <w:rFonts w:hint="eastAsia" w:ascii="仿宋" w:hAnsi="仿宋" w:eastAsia="仿宋" w:cs="仿宋"/>
                <w:szCs w:val="21"/>
              </w:rPr>
            </w:pPr>
            <w:r>
              <w:drawing>
                <wp:inline distT="0" distB="0" distL="114300" distR="114300">
                  <wp:extent cx="3952875" cy="3448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52875" cy="3448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spacing w:line="240" w:lineRule="exact"/>
              <w:jc w:val="center"/>
              <w:rPr>
                <w:rFonts w:hint="eastAsia" w:ascii="仿宋" w:hAnsi="仿宋" w:eastAsia="仿宋" w:cs="仿宋"/>
                <w:spacing w:val="-14"/>
                <w:kern w:val="0"/>
                <w:szCs w:val="21"/>
              </w:rPr>
            </w:pPr>
            <w:r>
              <w:rPr>
                <w:rFonts w:hint="eastAsia" w:ascii="仿宋" w:hAnsi="仿宋" w:eastAsia="仿宋" w:cs="仿宋"/>
                <w:spacing w:val="-14"/>
                <w:kern w:val="0"/>
                <w:szCs w:val="21"/>
              </w:rPr>
              <w:t>202</w:t>
            </w:r>
            <w:r>
              <w:rPr>
                <w:rFonts w:ascii="仿宋" w:hAnsi="仿宋" w:eastAsia="仿宋" w:cs="仿宋"/>
                <w:spacing w:val="-14"/>
                <w:kern w:val="0"/>
                <w:szCs w:val="21"/>
              </w:rPr>
              <w:t>4</w:t>
            </w:r>
            <w:r>
              <w:rPr>
                <w:rFonts w:hint="eastAsia" w:ascii="仿宋" w:hAnsi="仿宋" w:eastAsia="仿宋" w:cs="仿宋"/>
                <w:spacing w:val="-14"/>
                <w:kern w:val="0"/>
                <w:szCs w:val="21"/>
              </w:rPr>
              <w:t>年10月14日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4"/>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刘陶</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年10月14日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4"/>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292949FD"/>
    <w:rsid w:val="29294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2024-12-30T07:12:00Z</dcterms:created>
  <dc:creator>lui</dc:creator>
  <cp:lastModifiedBy>lui</cp:lastModifiedBy>
  <dcterms:modified xsi:type="dcterms:W3CDTF">2024-12-30T07:12:09Z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501E999DC53E4ED48AD512588F31EE77_11</vt:lpwstr>
  </property>
</Properties>
</file>