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项目名称：富余煤气高效利用发电项目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CQAK20-03-07-0032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名称：重庆钢铁股份有限公司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重庆市长寿区江南街道江南大道2号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彭元科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-4月15日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92300" cy="1390015"/>
                  <wp:effectExtent l="0" t="0" r="12700" b="635"/>
                  <wp:docPr id="1" name="图片 1" descr="重庆钢铁股份有限公司富余煤气高效利用发电项目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重庆钢铁股份有限公司富余煤气高效利用发电项目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0" cy="1390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15160" cy="1436370"/>
                  <wp:effectExtent l="0" t="0" r="8890" b="11430"/>
                  <wp:docPr id="2" name="图片 2" descr="重庆钢铁股份有限公司新建50000Nm3h制氧机组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重庆钢铁股份有限公司新建50000Nm3h制氧机组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160" cy="143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0577577"/>
    <w:rsid w:val="053D7FF6"/>
    <w:rsid w:val="097A2EEF"/>
    <w:rsid w:val="0A25434C"/>
    <w:rsid w:val="14164C8E"/>
    <w:rsid w:val="1FC63355"/>
    <w:rsid w:val="276134A6"/>
    <w:rsid w:val="2947797F"/>
    <w:rsid w:val="2B892294"/>
    <w:rsid w:val="2BF35858"/>
    <w:rsid w:val="3E8541A8"/>
    <w:rsid w:val="536853B3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2024-01-04T12:51:40Z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